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8E" w:rsidRPr="003707B5" w:rsidRDefault="003B288E" w:rsidP="00E123B4">
      <w:pPr>
        <w:shd w:val="clear" w:color="auto" w:fill="FFFFFF"/>
        <w:spacing w:before="240" w:after="0" w:line="206" w:lineRule="atLeast"/>
        <w:ind w:left="33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t-BR"/>
        </w:rPr>
        <w:t>BANCO DE HORAS – TERMO DE ADESÃO</w:t>
      </w:r>
    </w:p>
    <w:p w:rsidR="003B288E" w:rsidRPr="003707B5" w:rsidRDefault="003B288E" w:rsidP="003B288E">
      <w:pPr>
        <w:shd w:val="clear" w:color="auto" w:fill="FFFFFF"/>
        <w:spacing w:after="0" w:line="206" w:lineRule="atLeast"/>
        <w:ind w:left="33"/>
        <w:jc w:val="center"/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b/>
          <w:bCs/>
          <w:color w:val="000001"/>
          <w:sz w:val="24"/>
          <w:szCs w:val="24"/>
          <w:lang w:eastAsia="pt-BR"/>
        </w:rPr>
        <w:t> </w:t>
      </w:r>
    </w:p>
    <w:p w:rsidR="00327905" w:rsidRPr="003707B5" w:rsidRDefault="00327905" w:rsidP="003B288E">
      <w:pPr>
        <w:shd w:val="clear" w:color="auto" w:fill="FFFFFF"/>
        <w:spacing w:after="0" w:line="206" w:lineRule="atLeast"/>
        <w:ind w:left="33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27905" w:rsidRPr="003707B5" w:rsidRDefault="003B288E" w:rsidP="00E123B4">
      <w:pPr>
        <w:shd w:val="clear" w:color="auto" w:fill="FFFFFF"/>
        <w:spacing w:after="0" w:line="360" w:lineRule="auto"/>
        <w:ind w:left="33"/>
        <w:jc w:val="both"/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>Termo de Adesão, que entre si fazem a empresa ......................</w:t>
      </w:r>
      <w:r w:rsidR="00AB25AE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>................</w:t>
      </w:r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 xml:space="preserve">........................... </w:t>
      </w:r>
      <w:proofErr w:type="gramStart"/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>situada</w:t>
      </w:r>
      <w:proofErr w:type="gramEnd"/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 xml:space="preserve"> na .........................................</w:t>
      </w:r>
      <w:r w:rsidR="00AB25AE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>.......</w:t>
      </w:r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>............................. Bairro ............... UF ........ CEP........................................, inscrita no CNPJ sob o número ...................</w:t>
      </w:r>
      <w:r w:rsidR="00AB25AE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>......................</w:t>
      </w:r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 xml:space="preserve"> e-mail ...................................... neste ato representada pela Sócio ou Preposto Sr.(a) ................................................</w:t>
      </w:r>
      <w:r w:rsidR="00AB25AE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 xml:space="preserve">............................., </w:t>
      </w:r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 xml:space="preserve"> assistido pelo Sindicato do Comércio </w:t>
      </w:r>
      <w:r w:rsidR="007C24C2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 xml:space="preserve">Atacadista </w:t>
      </w:r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 xml:space="preserve">de Materiais de Construção do </w:t>
      </w:r>
      <w:r w:rsidR="007C24C2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>Estado</w:t>
      </w:r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 xml:space="preserve"> do Rio de Janeiro, e</w:t>
      </w:r>
      <w:r w:rsid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 xml:space="preserve"> de outro lado,</w:t>
      </w:r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 xml:space="preserve"> os seus empregados assistidos pelo Sindicato dos Empregados no Comércio do Município do Rio de Janeiro, </w:t>
      </w:r>
      <w:r w:rsid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>em conformidade com as</w:t>
      </w:r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> Condições estabelecidas na cláusula 27ª,</w:t>
      </w:r>
      <w:r w:rsid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 xml:space="preserve"> </w:t>
      </w:r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 xml:space="preserve">da Convenção Coletiva de Trabalho 2016/2017, </w:t>
      </w:r>
      <w:r w:rsidR="00087DA1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>Registrad</w:t>
      </w:r>
      <w:r w:rsidR="00B51130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 xml:space="preserve">a </w:t>
      </w:r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>n</w:t>
      </w:r>
      <w:r w:rsidR="00087DA1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>o</w:t>
      </w:r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 xml:space="preserve"> </w:t>
      </w:r>
      <w:r w:rsidR="00087DA1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>MTE</w:t>
      </w:r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 xml:space="preserve">/RJ sob o número </w:t>
      </w:r>
      <w:r w:rsidR="00087DA1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>000226</w:t>
      </w:r>
      <w:r w:rsidRPr="003707B5">
        <w:rPr>
          <w:rFonts w:ascii="Times New Roman" w:eastAsia="Times New Roman" w:hAnsi="Times New Roman" w:cs="Times New Roman"/>
          <w:color w:val="000001"/>
          <w:sz w:val="24"/>
          <w:szCs w:val="24"/>
          <w:lang w:eastAsia="pt-BR"/>
        </w:rPr>
        <w:t>/2017, com as seguintes condições;</w:t>
      </w:r>
    </w:p>
    <w:p w:rsidR="003B288E" w:rsidRPr="003707B5" w:rsidRDefault="003B288E" w:rsidP="00327905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 </w:t>
      </w:r>
    </w:p>
    <w:p w:rsidR="003B288E" w:rsidRPr="003707B5" w:rsidRDefault="003B288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b/>
          <w:bCs/>
          <w:color w:val="1A1A1C"/>
          <w:sz w:val="24"/>
          <w:szCs w:val="24"/>
          <w:lang w:eastAsia="pt-BR"/>
        </w:rPr>
        <w:t>Cláusula Primeira: </w:t>
      </w: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Em qualquer situação fica estabelecido que:</w:t>
      </w:r>
    </w:p>
    <w:p w:rsidR="003B288E" w:rsidRPr="003707B5" w:rsidRDefault="003B288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 </w:t>
      </w:r>
    </w:p>
    <w:p w:rsidR="003B288E" w:rsidRPr="003707B5" w:rsidRDefault="003B288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b/>
          <w:bCs/>
          <w:color w:val="1A1A1C"/>
          <w:sz w:val="24"/>
          <w:szCs w:val="24"/>
          <w:lang w:eastAsia="pt-BR"/>
        </w:rPr>
        <w:t>a) O </w:t>
      </w: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regime de Banco de Horas só poderá ser aplicado para prorrogação da jornada de trabalho não podendo ultrapassar o limite máximo de 10 (dez) horas diárias e 56 (cinquenta e seis) horas semanais;</w:t>
      </w:r>
    </w:p>
    <w:p w:rsidR="003B288E" w:rsidRPr="003707B5" w:rsidRDefault="003B288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 </w:t>
      </w:r>
      <w:proofErr w:type="gramStart"/>
      <w:r w:rsidR="003707B5" w:rsidRPr="003707B5">
        <w:rPr>
          <w:rFonts w:ascii="Times New Roman" w:eastAsia="Times New Roman" w:hAnsi="Times New Roman" w:cs="Times New Roman"/>
          <w:b/>
          <w:bCs/>
          <w:color w:val="1A1A1C"/>
          <w:sz w:val="24"/>
          <w:szCs w:val="24"/>
          <w:lang w:eastAsia="pt-BR"/>
        </w:rPr>
        <w:t>b) </w:t>
      </w:r>
      <w:r w:rsidR="00494267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N</w:t>
      </w:r>
      <w:r w:rsidR="003707B5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os</w:t>
      </w:r>
      <w:proofErr w:type="gramEnd"/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cálculos de compensação, cada hora trabalhada em prorrogação da jornada de trabalho, será computada como 01 (uma) hora de liberação;</w:t>
      </w:r>
    </w:p>
    <w:p w:rsidR="003B288E" w:rsidRPr="003707B5" w:rsidRDefault="003B288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 </w:t>
      </w:r>
      <w:r w:rsidRPr="003707B5">
        <w:rPr>
          <w:rFonts w:ascii="Times New Roman" w:eastAsia="Times New Roman" w:hAnsi="Times New Roman" w:cs="Times New Roman"/>
          <w:b/>
          <w:bCs/>
          <w:color w:val="1A1A1C"/>
          <w:sz w:val="24"/>
          <w:szCs w:val="24"/>
          <w:lang w:eastAsia="pt-BR"/>
        </w:rPr>
        <w:t>c) </w:t>
      </w: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A compensação deverá ser completa no período máximo de </w:t>
      </w:r>
      <w:r w:rsidR="00D87172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12</w:t>
      </w: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0 (</w:t>
      </w:r>
      <w:r w:rsidR="00D87172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cento e vinte</w:t>
      </w: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) dias, podendo a partir </w:t>
      </w:r>
      <w:proofErr w:type="gramStart"/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daí</w:t>
      </w:r>
      <w:proofErr w:type="gramEnd"/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ser negociado novo regime de compensação, sempre para um período máximo de </w:t>
      </w:r>
      <w:r w:rsidR="00D87172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12</w:t>
      </w:r>
      <w:r w:rsidR="00D87172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0 (</w:t>
      </w:r>
      <w:r w:rsidR="00D87172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cento e vinte</w:t>
      </w:r>
      <w:r w:rsidR="00D87172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) </w:t>
      </w: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dias;</w:t>
      </w:r>
    </w:p>
    <w:p w:rsidR="003B288E" w:rsidRPr="003707B5" w:rsidRDefault="003B288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 </w:t>
      </w:r>
      <w:proofErr w:type="gramStart"/>
      <w:r w:rsidR="003707B5" w:rsidRPr="003707B5">
        <w:rPr>
          <w:rFonts w:ascii="Times New Roman" w:eastAsia="Times New Roman" w:hAnsi="Times New Roman" w:cs="Times New Roman"/>
          <w:b/>
          <w:bCs/>
          <w:color w:val="1A1A1C"/>
          <w:sz w:val="24"/>
          <w:szCs w:val="24"/>
          <w:lang w:eastAsia="pt-BR"/>
        </w:rPr>
        <w:t>d) </w:t>
      </w:r>
      <w:r w:rsidR="00494267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N</w:t>
      </w:r>
      <w:r w:rsidR="003707B5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o</w:t>
      </w:r>
      <w:proofErr w:type="gramEnd"/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caso de haver crédito no final. </w:t>
      </w:r>
      <w:proofErr w:type="gramStart"/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de</w:t>
      </w:r>
      <w:proofErr w:type="gramEnd"/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</w:t>
      </w:r>
      <w:r w:rsidR="00D87172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12</w:t>
      </w:r>
      <w:r w:rsidR="00D87172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0 (</w:t>
      </w:r>
      <w:r w:rsidR="00D87172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cento e vinte</w:t>
      </w:r>
      <w:r w:rsidR="00D87172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) </w:t>
      </w: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dias, a empresa obriga-se a quitar de imediato as horas extras trabalhadas, com o adicional de 50</w:t>
      </w:r>
      <w:r w:rsidR="00D87172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%</w:t>
      </w: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(cinquenta por cento).</w:t>
      </w:r>
    </w:p>
    <w:p w:rsidR="003B288E" w:rsidRPr="003707B5" w:rsidRDefault="003B288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 </w:t>
      </w:r>
    </w:p>
    <w:p w:rsidR="003B288E" w:rsidRP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b/>
          <w:bCs/>
          <w:color w:val="1A1A1C"/>
          <w:sz w:val="24"/>
          <w:szCs w:val="24"/>
          <w:lang w:eastAsia="pt-BR"/>
        </w:rPr>
        <w:t>Cláusula</w:t>
      </w:r>
      <w:r w:rsidR="003B288E" w:rsidRPr="003707B5">
        <w:rPr>
          <w:rFonts w:ascii="Times New Roman" w:eastAsia="Times New Roman" w:hAnsi="Times New Roman" w:cs="Times New Roman"/>
          <w:b/>
          <w:bCs/>
          <w:color w:val="1A1A1C"/>
          <w:sz w:val="24"/>
          <w:szCs w:val="24"/>
          <w:lang w:eastAsia="pt-BR"/>
        </w:rPr>
        <w:t xml:space="preserve"> Segund</w:t>
      </w:r>
      <w:r>
        <w:rPr>
          <w:rFonts w:ascii="Times New Roman" w:eastAsia="Times New Roman" w:hAnsi="Times New Roman" w:cs="Times New Roman"/>
          <w:b/>
          <w:bCs/>
          <w:color w:val="1A1A1C"/>
          <w:sz w:val="24"/>
          <w:szCs w:val="24"/>
          <w:lang w:eastAsia="pt-BR"/>
        </w:rPr>
        <w:t>a</w:t>
      </w:r>
      <w:r w:rsidR="003B288E" w:rsidRPr="003707B5">
        <w:rPr>
          <w:rFonts w:ascii="Times New Roman" w:eastAsia="Times New Roman" w:hAnsi="Times New Roman" w:cs="Times New Roman"/>
          <w:b/>
          <w:bCs/>
          <w:color w:val="1A1A1C"/>
          <w:sz w:val="24"/>
          <w:szCs w:val="24"/>
          <w:lang w:eastAsia="pt-BR"/>
        </w:rPr>
        <w:t>: </w:t>
      </w:r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O acréscimo de salário correspondente às horas suplementares será dispensado quando o excesso de horas de um dia for compensado pela correspondente diminuição de outro dia, de maneira que não exceda, no período de </w:t>
      </w:r>
      <w:r w:rsidR="00D87172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12</w:t>
      </w:r>
      <w:r w:rsidR="00D87172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0 (</w:t>
      </w:r>
      <w:r w:rsidR="00D87172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cento e </w:t>
      </w:r>
      <w:proofErr w:type="gramStart"/>
      <w:r w:rsidR="00D87172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vinte</w:t>
      </w:r>
      <w:r w:rsidR="00D87172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) </w:t>
      </w:r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dias</w:t>
      </w:r>
      <w:proofErr w:type="gramEnd"/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, a soma das jornadas semanais de trabalho ajustadas com o empregado;</w:t>
      </w:r>
    </w:p>
    <w:p w:rsidR="00494267" w:rsidRDefault="003B288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 </w:t>
      </w:r>
    </w:p>
    <w:p w:rsidR="003B288E" w:rsidRP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gramStart"/>
      <w:r w:rsidRPr="003707B5">
        <w:rPr>
          <w:rFonts w:ascii="Times New Roman" w:eastAsia="Times New Roman" w:hAnsi="Times New Roman" w:cs="Times New Roman"/>
          <w:b/>
          <w:bCs/>
          <w:color w:val="1A1A1C"/>
          <w:sz w:val="24"/>
          <w:szCs w:val="24"/>
          <w:lang w:eastAsia="pt-BR"/>
        </w:rPr>
        <w:t>a) </w:t>
      </w:r>
      <w:r w:rsidR="00494267" w:rsidRPr="00F17B6F">
        <w:rPr>
          <w:rFonts w:ascii="Times New Roman" w:eastAsia="Times New Roman" w:hAnsi="Times New Roman" w:cs="Times New Roman"/>
          <w:bCs/>
          <w:color w:val="1A1A1C"/>
          <w:sz w:val="24"/>
          <w:szCs w:val="24"/>
          <w:lang w:eastAsia="pt-BR"/>
        </w:rPr>
        <w:t>N</w:t>
      </w: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a</w:t>
      </w:r>
      <w:proofErr w:type="gramEnd"/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hipótese de o empregado solicitar demissão antes do fechamento do período de </w:t>
      </w:r>
      <w:r w:rsidR="00D87172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12</w:t>
      </w:r>
      <w:r w:rsidR="00D87172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0 (</w:t>
      </w:r>
      <w:r w:rsidR="00D87172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cento e vinte</w:t>
      </w:r>
      <w:r w:rsidR="00D87172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) </w:t>
      </w:r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dias, será contabilizado o total de horas trabalhadas e o total de horas compensadas. Se houver débito de horas do empregado para com a empresa, as horas não trabalhadas serão descontadas das verbas que o empregado tiver direito na rescisão. No entanto, se houver crédito a favor do empregado, as horas não compensadas serão computadas com o adicional de horas extras devido;</w:t>
      </w:r>
    </w:p>
    <w:p w:rsidR="003B288E" w:rsidRPr="003707B5" w:rsidRDefault="00494267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b/>
          <w:bCs/>
          <w:color w:val="1A1A1C"/>
          <w:sz w:val="24"/>
          <w:szCs w:val="24"/>
          <w:lang w:eastAsia="pt-BR"/>
        </w:rPr>
        <w:t>b) </w:t>
      </w:r>
      <w:r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H</w:t>
      </w: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avendo</w:t>
      </w:r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rescisão do contrato por iniciativa da empresa, antes do fechamento do período de </w:t>
      </w:r>
      <w:r w:rsidR="00D87172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12</w:t>
      </w:r>
      <w:r w:rsidR="00D87172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0 (</w:t>
      </w:r>
      <w:r w:rsidR="00D87172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cento e </w:t>
      </w:r>
      <w:proofErr w:type="gramStart"/>
      <w:r w:rsidR="00D87172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vinte</w:t>
      </w:r>
      <w:r w:rsidR="00D87172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) </w:t>
      </w:r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dias</w:t>
      </w:r>
      <w:proofErr w:type="gramEnd"/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, será contabilizado o total de horas trabalhadas e o total de horas compensadas. Se houver débito de horas do empregado para com a empresa, as horas não trabalhadas serão abonadas, se houver crédito a favor do </w:t>
      </w:r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lastRenderedPageBreak/>
        <w:t>empregado, as horas não serão compensadas, serão remuneradas com o adicional de horas extras devido.</w:t>
      </w:r>
    </w:p>
    <w:p w:rsidR="003B288E" w:rsidRP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b/>
          <w:color w:val="1A1A1C"/>
          <w:sz w:val="24"/>
          <w:szCs w:val="24"/>
          <w:lang w:eastAsia="pt-BR"/>
        </w:rPr>
        <w:t>Cláusula</w:t>
      </w:r>
      <w:r w:rsidR="003B288E" w:rsidRPr="003707B5">
        <w:rPr>
          <w:rFonts w:ascii="Times New Roman" w:eastAsia="Times New Roman" w:hAnsi="Times New Roman" w:cs="Times New Roman"/>
          <w:b/>
          <w:color w:val="1A1A1C"/>
          <w:sz w:val="24"/>
          <w:szCs w:val="24"/>
          <w:lang w:eastAsia="pt-BR"/>
        </w:rPr>
        <w:t xml:space="preserve"> Terceir</w:t>
      </w:r>
      <w:r>
        <w:rPr>
          <w:rFonts w:ascii="Times New Roman" w:eastAsia="Times New Roman" w:hAnsi="Times New Roman" w:cs="Times New Roman"/>
          <w:b/>
          <w:color w:val="1A1A1C"/>
          <w:sz w:val="24"/>
          <w:szCs w:val="24"/>
          <w:lang w:eastAsia="pt-BR"/>
        </w:rPr>
        <w:t>a</w:t>
      </w:r>
      <w:r w:rsidR="003B288E" w:rsidRPr="003707B5">
        <w:rPr>
          <w:rFonts w:ascii="Times New Roman" w:eastAsia="Times New Roman" w:hAnsi="Times New Roman" w:cs="Times New Roman"/>
          <w:b/>
          <w:color w:val="1A1A1C"/>
          <w:sz w:val="24"/>
          <w:szCs w:val="24"/>
          <w:lang w:eastAsia="pt-BR"/>
        </w:rPr>
        <w:t>:</w:t>
      </w:r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As horas trabalhadas em prorrogação de jornada para fins de compensação, no regime de Banco de Horas, não se caracterizam como horas extras, sobre elas não incidindo qualquer adicional,</w:t>
      </w:r>
      <w:r w:rsidR="00494267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salvo as hipóteses previstas na</w:t>
      </w:r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</w:t>
      </w: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Cláusula</w:t>
      </w:r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primeir</w:t>
      </w:r>
      <w:r w:rsidR="00494267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a, letra "D" e na</w:t>
      </w:r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</w:t>
      </w:r>
      <w:r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Cláusula</w:t>
      </w:r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segund</w:t>
      </w:r>
      <w:r w:rsidR="00494267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a</w:t>
      </w:r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>;</w:t>
      </w:r>
    </w:p>
    <w:p w:rsidR="003B288E" w:rsidRP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b/>
          <w:color w:val="1A1A1C"/>
          <w:sz w:val="24"/>
          <w:szCs w:val="24"/>
          <w:lang w:eastAsia="pt-BR"/>
        </w:rPr>
        <w:t>Cláusula</w:t>
      </w:r>
      <w:r w:rsidR="003B288E" w:rsidRPr="003707B5">
        <w:rPr>
          <w:rFonts w:ascii="Times New Roman" w:eastAsia="Times New Roman" w:hAnsi="Times New Roman" w:cs="Times New Roman"/>
          <w:b/>
          <w:color w:val="1A1A1C"/>
          <w:sz w:val="24"/>
          <w:szCs w:val="24"/>
          <w:lang w:eastAsia="pt-BR"/>
        </w:rPr>
        <w:t xml:space="preserve"> Quart</w:t>
      </w:r>
      <w:r>
        <w:rPr>
          <w:rFonts w:ascii="Times New Roman" w:eastAsia="Times New Roman" w:hAnsi="Times New Roman" w:cs="Times New Roman"/>
          <w:b/>
          <w:color w:val="1A1A1C"/>
          <w:sz w:val="24"/>
          <w:szCs w:val="24"/>
          <w:lang w:eastAsia="pt-BR"/>
        </w:rPr>
        <w:t>a</w:t>
      </w:r>
      <w:r w:rsidR="003B288E" w:rsidRPr="003707B5">
        <w:rPr>
          <w:rFonts w:ascii="Times New Roman" w:eastAsia="Times New Roman" w:hAnsi="Times New Roman" w:cs="Times New Roman"/>
          <w:b/>
          <w:color w:val="1A1A1C"/>
          <w:sz w:val="24"/>
          <w:szCs w:val="24"/>
          <w:lang w:eastAsia="pt-BR"/>
        </w:rPr>
        <w:t>:</w:t>
      </w:r>
      <w:r w:rsidR="003B288E" w:rsidRPr="003707B5"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  <w:t xml:space="preserve"> Nas condições ora contratadas, as empresas recolherão, por estabelecimento, aos Sindicatos convenentes, para reposição de despesas, as importâncias abaixo estabelecidas através de recibos expedidos pelos mesmos:</w:t>
      </w:r>
    </w:p>
    <w:p w:rsidR="003B288E" w:rsidRPr="003707B5" w:rsidRDefault="003B288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</w:pPr>
    </w:p>
    <w:p w:rsidR="003B288E" w:rsidRPr="003707B5" w:rsidRDefault="003B288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1A1A1C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33" w:type="dxa"/>
        <w:tblLook w:val="04A0" w:firstRow="1" w:lastRow="0" w:firstColumn="1" w:lastColumn="0" w:noHBand="0" w:noVBand="1"/>
      </w:tblPr>
      <w:tblGrid>
        <w:gridCol w:w="4232"/>
        <w:gridCol w:w="4229"/>
      </w:tblGrid>
      <w:tr w:rsidR="003B288E" w:rsidRPr="003707B5" w:rsidTr="003B288E">
        <w:tc>
          <w:tcPr>
            <w:tcW w:w="4247" w:type="dxa"/>
          </w:tcPr>
          <w:p w:rsidR="003B288E" w:rsidRPr="003707B5" w:rsidRDefault="003B288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32426"/>
                <w:sz w:val="24"/>
                <w:szCs w:val="24"/>
                <w:lang w:eastAsia="pt-BR"/>
              </w:rPr>
              <w:t>De 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01 a 10 empregados</w:t>
            </w:r>
          </w:p>
        </w:tc>
        <w:tc>
          <w:tcPr>
            <w:tcW w:w="4247" w:type="dxa"/>
          </w:tcPr>
          <w:p w:rsidR="003B288E" w:rsidRPr="003707B5" w:rsidRDefault="003B288E" w:rsidP="00D87172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 xml:space="preserve">R$ </w:t>
            </w:r>
            <w:r w:rsidR="00D8717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18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0,00</w:t>
            </w:r>
          </w:p>
        </w:tc>
      </w:tr>
      <w:tr w:rsidR="003B288E" w:rsidRPr="003707B5" w:rsidTr="003B288E">
        <w:tc>
          <w:tcPr>
            <w:tcW w:w="4247" w:type="dxa"/>
          </w:tcPr>
          <w:p w:rsidR="003B288E" w:rsidRPr="003707B5" w:rsidRDefault="003B288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32426"/>
                <w:sz w:val="24"/>
                <w:szCs w:val="24"/>
                <w:lang w:eastAsia="pt-BR"/>
              </w:rPr>
              <w:t>De 1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1 a </w:t>
            </w:r>
            <w:r w:rsidRPr="003707B5">
              <w:rPr>
                <w:rFonts w:ascii="Times New Roman" w:eastAsia="Times New Roman" w:hAnsi="Times New Roman" w:cs="Times New Roman"/>
                <w:color w:val="232426"/>
                <w:sz w:val="24"/>
                <w:szCs w:val="24"/>
                <w:lang w:eastAsia="pt-BR"/>
              </w:rPr>
              <w:t>2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0 empregados</w:t>
            </w:r>
          </w:p>
        </w:tc>
        <w:tc>
          <w:tcPr>
            <w:tcW w:w="4247" w:type="dxa"/>
          </w:tcPr>
          <w:p w:rsidR="003B288E" w:rsidRPr="003707B5" w:rsidRDefault="003B288E" w:rsidP="00D87172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 xml:space="preserve">R$ </w:t>
            </w:r>
            <w:r w:rsidR="00D8717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20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0,00 </w:t>
            </w:r>
          </w:p>
        </w:tc>
      </w:tr>
      <w:tr w:rsidR="003B288E" w:rsidRPr="003707B5" w:rsidTr="003B288E">
        <w:tc>
          <w:tcPr>
            <w:tcW w:w="4247" w:type="dxa"/>
          </w:tcPr>
          <w:p w:rsidR="003B288E" w:rsidRPr="003707B5" w:rsidRDefault="003B288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32426"/>
                <w:sz w:val="24"/>
                <w:szCs w:val="24"/>
                <w:lang w:eastAsia="pt-BR"/>
              </w:rPr>
              <w:t>De 2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1 a 30 empregados </w:t>
            </w:r>
          </w:p>
        </w:tc>
        <w:tc>
          <w:tcPr>
            <w:tcW w:w="4247" w:type="dxa"/>
          </w:tcPr>
          <w:p w:rsidR="003B288E" w:rsidRPr="003707B5" w:rsidRDefault="003B288E" w:rsidP="00D87172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 xml:space="preserve">R$ </w:t>
            </w:r>
            <w:r w:rsidR="00D8717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2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60,00 </w:t>
            </w:r>
          </w:p>
        </w:tc>
      </w:tr>
      <w:tr w:rsidR="003B288E" w:rsidRPr="003707B5" w:rsidTr="003B288E">
        <w:tc>
          <w:tcPr>
            <w:tcW w:w="4247" w:type="dxa"/>
          </w:tcPr>
          <w:p w:rsidR="003B288E" w:rsidRPr="003707B5" w:rsidRDefault="003B288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32426"/>
                <w:sz w:val="24"/>
                <w:szCs w:val="24"/>
                <w:lang w:eastAsia="pt-BR"/>
              </w:rPr>
              <w:t>De 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31 a 50 empregados </w:t>
            </w:r>
          </w:p>
        </w:tc>
        <w:tc>
          <w:tcPr>
            <w:tcW w:w="4247" w:type="dxa"/>
          </w:tcPr>
          <w:p w:rsidR="003B288E" w:rsidRPr="003707B5" w:rsidRDefault="003B288E" w:rsidP="00D87172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 xml:space="preserve">R$ </w:t>
            </w:r>
            <w:r w:rsidR="00D8717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30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0,00 </w:t>
            </w:r>
          </w:p>
        </w:tc>
      </w:tr>
      <w:tr w:rsidR="003B288E" w:rsidRPr="003707B5" w:rsidTr="003B288E">
        <w:tc>
          <w:tcPr>
            <w:tcW w:w="4247" w:type="dxa"/>
          </w:tcPr>
          <w:p w:rsidR="003B288E" w:rsidRPr="003707B5" w:rsidRDefault="003B288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32426"/>
                <w:sz w:val="24"/>
                <w:szCs w:val="24"/>
                <w:lang w:eastAsia="pt-BR"/>
              </w:rPr>
              <w:t>De 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51 a 100 empregados </w:t>
            </w:r>
          </w:p>
        </w:tc>
        <w:tc>
          <w:tcPr>
            <w:tcW w:w="4247" w:type="dxa"/>
          </w:tcPr>
          <w:p w:rsidR="003B288E" w:rsidRPr="003707B5" w:rsidRDefault="003B288E" w:rsidP="00D87172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R$ 5</w:t>
            </w:r>
            <w:r w:rsidR="00D8717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00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,00 </w:t>
            </w:r>
          </w:p>
        </w:tc>
      </w:tr>
      <w:tr w:rsidR="003B288E" w:rsidRPr="003707B5" w:rsidTr="003B288E">
        <w:tc>
          <w:tcPr>
            <w:tcW w:w="4247" w:type="dxa"/>
          </w:tcPr>
          <w:p w:rsidR="003B288E" w:rsidRPr="003707B5" w:rsidRDefault="003B288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32426"/>
                <w:sz w:val="24"/>
                <w:szCs w:val="24"/>
                <w:lang w:eastAsia="pt-BR"/>
              </w:rPr>
              <w:t>De 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101 a 200 empregados </w:t>
            </w:r>
          </w:p>
        </w:tc>
        <w:tc>
          <w:tcPr>
            <w:tcW w:w="4247" w:type="dxa"/>
          </w:tcPr>
          <w:p w:rsidR="003B288E" w:rsidRPr="003707B5" w:rsidRDefault="003B288E" w:rsidP="00D87172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 xml:space="preserve">R$ </w:t>
            </w:r>
            <w:r w:rsidR="00D8717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70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0,00 </w:t>
            </w:r>
          </w:p>
        </w:tc>
      </w:tr>
      <w:tr w:rsidR="003B288E" w:rsidRPr="003707B5" w:rsidTr="003B288E">
        <w:tc>
          <w:tcPr>
            <w:tcW w:w="4247" w:type="dxa"/>
          </w:tcPr>
          <w:p w:rsidR="003B288E" w:rsidRPr="003707B5" w:rsidRDefault="003B288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32426"/>
                <w:sz w:val="24"/>
                <w:szCs w:val="24"/>
                <w:lang w:eastAsia="pt-BR"/>
              </w:rPr>
              <w:t>Ac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ima de 200 empregados</w:t>
            </w:r>
          </w:p>
        </w:tc>
        <w:tc>
          <w:tcPr>
            <w:tcW w:w="4247" w:type="dxa"/>
          </w:tcPr>
          <w:p w:rsidR="003B288E" w:rsidRPr="003707B5" w:rsidRDefault="003B288E" w:rsidP="00D87172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 xml:space="preserve">R$ </w:t>
            </w:r>
            <w:r w:rsidR="00D8717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8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5</w:t>
            </w:r>
            <w:r w:rsidR="00D87172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0</w:t>
            </w:r>
            <w:r w:rsidRPr="003707B5">
              <w:rPr>
                <w:rFonts w:ascii="Times New Roman" w:eastAsia="Times New Roman" w:hAnsi="Times New Roman" w:cs="Times New Roman"/>
                <w:color w:val="000001"/>
                <w:sz w:val="24"/>
                <w:szCs w:val="24"/>
                <w:lang w:eastAsia="pt-BR"/>
              </w:rPr>
              <w:t>,00</w:t>
            </w:r>
          </w:p>
        </w:tc>
      </w:tr>
    </w:tbl>
    <w:p w:rsidR="003B288E" w:rsidRPr="003707B5" w:rsidRDefault="003B288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D87172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8717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Cláusula</w:t>
      </w:r>
      <w:r w:rsidR="003B288E" w:rsidRPr="00D8717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Quint</w:t>
      </w:r>
      <w:r w:rsidRPr="00D8717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a</w:t>
      </w:r>
      <w:r w:rsidR="003B288E" w:rsidRPr="00D8717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:</w:t>
      </w:r>
      <w:r w:rsidR="003B288E" w:rsidRPr="003707B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O regime de Banco de Horas poderá ser aplicado, tanto para antecipação de horas de trabalho, com liberação posterior, quanto para liberação de horas com reposição posterior;</w:t>
      </w:r>
      <w:r w:rsidR="00327905" w:rsidRPr="003707B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F17B6F" w:rsidRDefault="00F17B6F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F17B6F" w:rsidRDefault="00F17B6F" w:rsidP="00F17B6F">
      <w:pPr>
        <w:pStyle w:val="PargrafodaLista"/>
        <w:numPr>
          <w:ilvl w:val="0"/>
          <w:numId w:val="1"/>
        </w:numPr>
        <w:shd w:val="clear" w:color="auto" w:fill="FFFFFF"/>
        <w:spacing w:after="0" w:line="20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Caso sejam concedidos pela empresa, reduções de jornada ou folgas compensatórias</w:t>
      </w:r>
      <w:r w:rsidR="00352FC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além do número de horas efetivamente prestadas pelo empregado, essas não poderão se constituir como crédito para a empresa, em ser descontado após o prazo da cláusula Primeira, letra “C”;</w:t>
      </w:r>
    </w:p>
    <w:p w:rsidR="00352FCE" w:rsidRPr="00F17B6F" w:rsidRDefault="00E71FCA" w:rsidP="00F17B6F">
      <w:pPr>
        <w:pStyle w:val="PargrafodaLista"/>
        <w:numPr>
          <w:ilvl w:val="0"/>
          <w:numId w:val="1"/>
        </w:numPr>
        <w:shd w:val="clear" w:color="auto" w:fill="FFFFFF"/>
        <w:spacing w:after="0" w:line="20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 carga horária também poderá ser reduzida segundo as necessidades da empresa, sem desconto salarial, desde que compensado pelo empregado dentro do lapso temporal a que se refere a Cláusula Primeira, letra “C”, ou seja, caso o empregado não compense as horas devedoras até o final do prazo para fechamento do Banco de Horas, haverá o desconto salarial;</w:t>
      </w:r>
    </w:p>
    <w:p w:rsidR="00D87172" w:rsidRDefault="00D87172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B288E" w:rsidRP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D8717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Cláusula</w:t>
      </w:r>
      <w:r w:rsidR="003B288E" w:rsidRPr="00D8717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Sext</w:t>
      </w:r>
      <w:r w:rsidR="00494267" w:rsidRPr="00D8717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a</w:t>
      </w:r>
      <w:r w:rsidR="003B288E" w:rsidRPr="00D8717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:</w:t>
      </w:r>
      <w:r w:rsidR="003B288E" w:rsidRPr="003707B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 empresa deverá instituir sistema de controle individual das horas antecipadas e das horas liberadas, a fim de comprovação da compensação;</w:t>
      </w:r>
    </w:p>
    <w:p w:rsidR="003B288E" w:rsidRDefault="003B288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71FCA" w:rsidRDefault="00E71FCA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71FCA" w:rsidRPr="003707B5" w:rsidRDefault="00E71FCA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B288E" w:rsidRPr="003707B5" w:rsidRDefault="003B288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B288E" w:rsidRDefault="003B288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3707B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Rio de </w:t>
      </w:r>
      <w:r w:rsidR="00494267" w:rsidRPr="003707B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Janeiro,</w:t>
      </w:r>
      <w:r w:rsidR="0049426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....  </w:t>
      </w:r>
      <w:proofErr w:type="gramStart"/>
      <w:r w:rsidRPr="003707B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</w:t>
      </w:r>
      <w:proofErr w:type="gramEnd"/>
      <w:r w:rsidR="0049426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  </w:t>
      </w:r>
      <w:r w:rsidRPr="003707B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..............................</w:t>
      </w:r>
      <w:r w:rsidR="00494267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3707B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 2017</w:t>
      </w:r>
      <w:r w:rsidR="003707B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707B5" w:rsidRP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B288E" w:rsidRP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</w:t>
      </w:r>
    </w:p>
    <w:p w:rsidR="003B288E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 w:rsidR="003B288E" w:rsidRPr="003707B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sinatura e carimbo do empregador</w:t>
      </w:r>
    </w:p>
    <w:p w:rsid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707B5" w:rsidRP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33" w:type="dxa"/>
        <w:tblLook w:val="04A0" w:firstRow="1" w:lastRow="0" w:firstColumn="1" w:lastColumn="0" w:noHBand="0" w:noVBand="1"/>
      </w:tblPr>
      <w:tblGrid>
        <w:gridCol w:w="516"/>
        <w:gridCol w:w="3026"/>
        <w:gridCol w:w="1131"/>
        <w:gridCol w:w="1378"/>
        <w:gridCol w:w="2410"/>
      </w:tblGrid>
      <w:tr w:rsidR="00654C7E" w:rsidRPr="003707B5" w:rsidTr="00E71FCA">
        <w:trPr>
          <w:trHeight w:val="421"/>
        </w:trPr>
        <w:tc>
          <w:tcPr>
            <w:tcW w:w="516" w:type="dxa"/>
          </w:tcPr>
          <w:p w:rsidR="00654C7E" w:rsidRPr="003707B5" w:rsidRDefault="00654C7E" w:rsidP="00654C7E">
            <w:pPr>
              <w:spacing w:line="20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3026" w:type="dxa"/>
          </w:tcPr>
          <w:p w:rsidR="00654C7E" w:rsidRPr="003707B5" w:rsidRDefault="00654C7E" w:rsidP="00654C7E">
            <w:pPr>
              <w:spacing w:line="20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Nome Empregado</w:t>
            </w:r>
          </w:p>
        </w:tc>
        <w:tc>
          <w:tcPr>
            <w:tcW w:w="1131" w:type="dxa"/>
          </w:tcPr>
          <w:p w:rsidR="00654C7E" w:rsidRPr="003707B5" w:rsidRDefault="00654C7E" w:rsidP="00654C7E">
            <w:pPr>
              <w:spacing w:line="20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CTPS no./Serie</w:t>
            </w:r>
          </w:p>
        </w:tc>
        <w:tc>
          <w:tcPr>
            <w:tcW w:w="1378" w:type="dxa"/>
          </w:tcPr>
          <w:p w:rsidR="00654C7E" w:rsidRPr="003707B5" w:rsidRDefault="003707B5" w:rsidP="00654C7E">
            <w:pPr>
              <w:spacing w:line="20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2410" w:type="dxa"/>
          </w:tcPr>
          <w:p w:rsidR="00654C7E" w:rsidRPr="003707B5" w:rsidRDefault="00654C7E" w:rsidP="00654C7E">
            <w:pPr>
              <w:spacing w:line="20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Assinatura</w:t>
            </w: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5.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6.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7.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8.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9.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10.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11.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12.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13.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14.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15.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16.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17.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18.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19.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E71FCA">
        <w:tc>
          <w:tcPr>
            <w:tcW w:w="51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 w:rsidRPr="003707B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20.</w:t>
            </w:r>
          </w:p>
        </w:tc>
        <w:tc>
          <w:tcPr>
            <w:tcW w:w="3026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131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1378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</w:tbl>
    <w:p w:rsidR="003B288E" w:rsidRPr="003707B5" w:rsidRDefault="003B288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654C7E" w:rsidRDefault="00654C7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3707B5" w:rsidRPr="003707B5" w:rsidRDefault="003707B5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4303"/>
        <w:gridCol w:w="4225"/>
      </w:tblGrid>
      <w:tr w:rsidR="00654C7E" w:rsidRPr="003707B5" w:rsidTr="003707B5">
        <w:trPr>
          <w:trHeight w:val="3408"/>
        </w:trPr>
        <w:tc>
          <w:tcPr>
            <w:tcW w:w="4389" w:type="dxa"/>
          </w:tcPr>
          <w:p w:rsidR="00654C7E" w:rsidRPr="003707B5" w:rsidRDefault="00654C7E" w:rsidP="003707B5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4322" w:type="dxa"/>
          </w:tcPr>
          <w:p w:rsidR="00654C7E" w:rsidRPr="003707B5" w:rsidRDefault="00654C7E" w:rsidP="003B288E">
            <w:pPr>
              <w:spacing w:line="20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</w:p>
        </w:tc>
      </w:tr>
      <w:tr w:rsidR="00654C7E" w:rsidRPr="003707B5" w:rsidTr="003707B5">
        <w:tc>
          <w:tcPr>
            <w:tcW w:w="4389" w:type="dxa"/>
            <w:tcBorders>
              <w:left w:val="nil"/>
              <w:bottom w:val="nil"/>
              <w:right w:val="nil"/>
            </w:tcBorders>
          </w:tcPr>
          <w:p w:rsidR="00654C7E" w:rsidRPr="003707B5" w:rsidRDefault="003707B5" w:rsidP="00654C7E">
            <w:pPr>
              <w:spacing w:line="20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Carimbo do SINCOMAC</w:t>
            </w:r>
          </w:p>
        </w:tc>
        <w:tc>
          <w:tcPr>
            <w:tcW w:w="4322" w:type="dxa"/>
            <w:tcBorders>
              <w:left w:val="nil"/>
              <w:bottom w:val="nil"/>
              <w:right w:val="nil"/>
            </w:tcBorders>
          </w:tcPr>
          <w:p w:rsidR="00654C7E" w:rsidRPr="003707B5" w:rsidRDefault="003707B5" w:rsidP="00654C7E">
            <w:pPr>
              <w:spacing w:line="20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pt-BR"/>
              </w:rPr>
              <w:t>Carimbo do SECRJ</w:t>
            </w:r>
          </w:p>
        </w:tc>
      </w:tr>
    </w:tbl>
    <w:p w:rsidR="00654C7E" w:rsidRDefault="00654C7E" w:rsidP="003B288E">
      <w:pPr>
        <w:shd w:val="clear" w:color="auto" w:fill="FFFFFF"/>
        <w:spacing w:after="0" w:line="206" w:lineRule="atLeast"/>
        <w:ind w:left="3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94267" w:rsidRDefault="00494267" w:rsidP="00494267">
      <w:pPr>
        <w:shd w:val="clear" w:color="auto" w:fill="FFFFFF"/>
        <w:spacing w:after="0" w:line="206" w:lineRule="atLeast"/>
        <w:ind w:left="33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94267" w:rsidRPr="003707B5" w:rsidRDefault="00494267" w:rsidP="00494267">
      <w:pPr>
        <w:shd w:val="clear" w:color="auto" w:fill="FFFFFF"/>
        <w:spacing w:after="0" w:line="206" w:lineRule="atLeast"/>
        <w:ind w:left="33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VALIDO SOMENTE COM O CARIMBO DE AMBOS OS SINDICATOS E PREENCHIMENTO DE TODOS OS DADOS SOLICITADOS</w:t>
      </w:r>
    </w:p>
    <w:sectPr w:rsidR="00494267" w:rsidRPr="00370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4717D"/>
    <w:multiLevelType w:val="hybridMultilevel"/>
    <w:tmpl w:val="B666F82C"/>
    <w:lvl w:ilvl="0" w:tplc="4D705344">
      <w:start w:val="1"/>
      <w:numFmt w:val="lowerLetter"/>
      <w:lvlText w:val="%1)"/>
      <w:lvlJc w:val="left"/>
      <w:pPr>
        <w:ind w:left="39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8E"/>
    <w:rsid w:val="00087DA1"/>
    <w:rsid w:val="00327905"/>
    <w:rsid w:val="00352FCE"/>
    <w:rsid w:val="003707B5"/>
    <w:rsid w:val="003B288E"/>
    <w:rsid w:val="00494267"/>
    <w:rsid w:val="004B12E5"/>
    <w:rsid w:val="00654C7E"/>
    <w:rsid w:val="007C24C2"/>
    <w:rsid w:val="008C7844"/>
    <w:rsid w:val="00AB25AE"/>
    <w:rsid w:val="00B51130"/>
    <w:rsid w:val="00B91267"/>
    <w:rsid w:val="00D87172"/>
    <w:rsid w:val="00E123B4"/>
    <w:rsid w:val="00E71FCA"/>
    <w:rsid w:val="00F17B6F"/>
    <w:rsid w:val="00F3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2218"/>
  <w15:docId w15:val="{7E7BF6A9-ADED-4E24-9569-9B76A106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3803352996762536321gmail-estilo">
    <w:name w:val="m_-3803352996762536321gmail-estilo"/>
    <w:basedOn w:val="Normal"/>
    <w:rsid w:val="003B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B288E"/>
  </w:style>
  <w:style w:type="table" w:styleId="Tabelacomgrade">
    <w:name w:val="Table Grid"/>
    <w:basedOn w:val="Tabelanormal"/>
    <w:uiPriority w:val="39"/>
    <w:rsid w:val="003B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17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E367D-A371-4A66-A79D-C77E08E3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824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petralanda</dc:creator>
  <cp:keywords/>
  <dc:description/>
  <cp:lastModifiedBy>Felipe Bello</cp:lastModifiedBy>
  <cp:revision>3</cp:revision>
  <dcterms:created xsi:type="dcterms:W3CDTF">2017-12-01T23:09:00Z</dcterms:created>
  <dcterms:modified xsi:type="dcterms:W3CDTF">2017-12-01T23:15:00Z</dcterms:modified>
</cp:coreProperties>
</file>